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3907" w:rsidRDefault="006B3907" w:rsidP="006B3907">
      <w:pPr>
        <w:rPr>
          <w:rFonts w:ascii="Courier New" w:hAnsi="Courier New" w:cs="Courier New"/>
        </w:rPr>
      </w:pPr>
      <w:r w:rsidRPr="00DE1FFE">
        <w:rPr>
          <w:rFonts w:ascii="Courier New" w:hAnsi="Courier New" w:cs="Courier New"/>
          <w:noProof/>
        </w:rPr>
        <mc:AlternateContent>
          <mc:Choice Requires="wps">
            <w:drawing>
              <wp:anchor distT="0" distB="0" distL="114300" distR="114300" simplePos="0" relativeHeight="251661312" behindDoc="0" locked="0" layoutInCell="1" allowOverlap="1" wp14:anchorId="519D522C" wp14:editId="1B664185">
                <wp:simplePos x="0" y="0"/>
                <wp:positionH relativeFrom="column">
                  <wp:posOffset>1985645</wp:posOffset>
                </wp:positionH>
                <wp:positionV relativeFrom="paragraph">
                  <wp:posOffset>-490855</wp:posOffset>
                </wp:positionV>
                <wp:extent cx="1266825" cy="1403985"/>
                <wp:effectExtent l="0" t="0" r="28575" b="10160"/>
                <wp:wrapNone/>
                <wp:docPr id="22" name="Blok textu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1403985"/>
                        </a:xfrm>
                        <a:prstGeom prst="rect">
                          <a:avLst/>
                        </a:prstGeom>
                        <a:solidFill>
                          <a:srgbClr val="FFFFFF"/>
                        </a:solidFill>
                        <a:ln w="9525">
                          <a:solidFill>
                            <a:srgbClr val="000000"/>
                          </a:solidFill>
                          <a:miter lim="800000"/>
                          <a:headEnd/>
                          <a:tailEnd/>
                        </a:ln>
                      </wps:spPr>
                      <wps:txbx>
                        <w:txbxContent>
                          <w:p w:rsidR="006B3907" w:rsidRDefault="006B3907" w:rsidP="006B3907">
                            <w:r>
                              <w:t>75 korektúr 2964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Blok textu 22" o:spid="_x0000_s1026" type="#_x0000_t202" style="position:absolute;margin-left:156.35pt;margin-top:-38.65pt;width:99.7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">
                <v:textbox style="mso-fit-shape-to-text:t">
                  <w:txbxContent>
                    <w:p w:rsidR="006B3907" w:rsidRDefault="006B3907" w:rsidP="006B3907">
                      <w:r>
                        <w:t>75 korektúr 2964</w:t>
                      </w:r>
                    </w:p>
                  </w:txbxContent>
                </v:textbox>
              </v:shape>
            </w:pict>
          </mc:Fallback>
        </mc:AlternateContent>
      </w:r>
      <w:r w:rsidRPr="00DE1FFE">
        <w:rPr>
          <w:rFonts w:ascii="Courier New" w:hAnsi="Courier New" w:cs="Courier New"/>
          <w:noProof/>
        </w:rPr>
        <mc:AlternateContent>
          <mc:Choice Requires="wps">
            <w:drawing>
              <wp:anchor distT="0" distB="0" distL="114300" distR="114300" simplePos="0" relativeHeight="251659264" behindDoc="0" locked="0" layoutInCell="1" allowOverlap="1" wp14:anchorId="3CEC557F" wp14:editId="5198BC3B">
                <wp:simplePos x="0" y="0"/>
                <wp:positionH relativeFrom="column">
                  <wp:posOffset>4852035</wp:posOffset>
                </wp:positionH>
                <wp:positionV relativeFrom="paragraph">
                  <wp:posOffset>-484505</wp:posOffset>
                </wp:positionV>
                <wp:extent cx="952500" cy="1403985"/>
                <wp:effectExtent l="0" t="0" r="19050" b="10160"/>
                <wp:wrapNone/>
                <wp:docPr id="20" name="Blok textu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1403985"/>
                        </a:xfrm>
                        <a:prstGeom prst="rect">
                          <a:avLst/>
                        </a:prstGeom>
                        <a:solidFill>
                          <a:srgbClr val="FFFFFF"/>
                        </a:solidFill>
                        <a:ln w="9525">
                          <a:solidFill>
                            <a:srgbClr val="000000"/>
                          </a:solidFill>
                          <a:miter lim="800000"/>
                          <a:headEnd/>
                          <a:tailEnd/>
                        </a:ln>
                      </wps:spPr>
                      <wps:txbx>
                        <w:txbxContent>
                          <w:p w:rsidR="006B3907" w:rsidRDefault="006B3907" w:rsidP="006B3907">
                            <w:r>
                              <w:t>str. 70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Blok textu 20" o:spid="_x0000_s1027" type="#_x0000_t202" style="position:absolute;margin-left:382.05pt;margin-top:-38.15pt;width:7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">
                <v:textbox style="mso-fit-shape-to-text:t">
                  <w:txbxContent>
                    <w:p w:rsidR="006B3907" w:rsidRDefault="006B3907" w:rsidP="006B3907">
                      <w:r>
                        <w:t>str. 70</w:t>
                      </w:r>
                    </w:p>
                  </w:txbxContent>
                </v:textbox>
              </v:shape>
            </w:pict>
          </mc:Fallback>
        </mc:AlternateContent>
      </w:r>
      <w:r w:rsidRPr="00DE1FFE">
        <w:rPr>
          <w:rFonts w:ascii="Courier New" w:hAnsi="Courier New" w:cs="Courier New"/>
          <w:noProof/>
        </w:rPr>
        <mc:AlternateContent>
          <mc:Choice Requires="wps">
            <w:drawing>
              <wp:anchor distT="0" distB="0" distL="114300" distR="114300" simplePos="0" relativeHeight="251660288" behindDoc="0" locked="0" layoutInCell="1" allowOverlap="1" wp14:anchorId="6B7A0E21" wp14:editId="447CFB01">
                <wp:simplePos x="0" y="0"/>
                <wp:positionH relativeFrom="column">
                  <wp:posOffset>3689985</wp:posOffset>
                </wp:positionH>
                <wp:positionV relativeFrom="paragraph">
                  <wp:posOffset>-484505</wp:posOffset>
                </wp:positionV>
                <wp:extent cx="952500" cy="1403985"/>
                <wp:effectExtent l="0" t="0" r="19050" b="10160"/>
                <wp:wrapNone/>
                <wp:docPr id="21" name="Blok textu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1403985"/>
                        </a:xfrm>
                        <a:prstGeom prst="rect">
                          <a:avLst/>
                        </a:prstGeom>
                        <a:solidFill>
                          <a:srgbClr val="FFFFFF"/>
                        </a:solidFill>
                        <a:ln w="9525">
                          <a:solidFill>
                            <a:srgbClr val="000000"/>
                          </a:solidFill>
                          <a:miter lim="800000"/>
                          <a:headEnd/>
                          <a:tailEnd/>
                        </a:ln>
                      </wps:spPr>
                      <wps:txbx>
                        <w:txbxContent>
                          <w:p w:rsidR="001100E5" w:rsidRDefault="006B3907" w:rsidP="006B3907">
                            <w:r>
                              <w:t xml:space="preserve">5,70 </w:t>
                            </w:r>
                            <w:r w:rsidR="001100E5">
                              <w:t>PO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Blok textu 21" o:spid="_x0000_s1028" type="#_x0000_t202" style="position:absolute;margin-left:290.55pt;margin-top:-38.15pt;width:75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">
                <v:textbox style="mso-fit-shape-to-text:t">
                  <w:txbxContent>
                    <w:p w:rsidR="001100E5" w:rsidRDefault="006B3907" w:rsidP="006B3907">
                      <w:r>
                        <w:t xml:space="preserve">5,70 </w:t>
                      </w:r>
                      <w:r w:rsidR="001100E5">
                        <w:t>PO</w:t>
                      </w:r>
                    </w:p>
                  </w:txbxContent>
                </v:textbox>
              </v:shape>
            </w:pict>
          </mc:Fallback>
        </mc:AlternateContent>
      </w:r>
      <w:r>
        <w:rPr>
          <w:rFonts w:ascii="Courier New" w:hAnsi="Courier New" w:cs="Courier New"/>
        </w:rPr>
        <w:t>Menová politika</w:t>
      </w:r>
    </w:p>
    <w:p w:rsidR="00825477" w:rsidRDefault="006B3907" w:rsidP="006B3907">
      <w:r>
        <w:rPr>
          <w:rFonts w:ascii="Courier New" w:hAnsi="Courier New" w:cs="Courier New"/>
        </w:rPr>
        <w:t xml:space="preserve">Sprísňovanie menovej politiky je charakteristické pre takmer všetky krajiny únie. Vyrovnajú sa ním viaceré hospodárstva starého kontinentu vrátane eurozóny. Sériu začala </w:t>
      </w:r>
      <w:proofErr w:type="spellStart"/>
      <w:r>
        <w:rPr>
          <w:rFonts w:ascii="Courier New" w:hAnsi="Courier New" w:cs="Courier New"/>
        </w:rPr>
        <w:t>Magyar</w:t>
      </w:r>
      <w:proofErr w:type="spellEnd"/>
      <w:r>
        <w:rPr>
          <w:rFonts w:ascii="Courier New" w:hAnsi="Courier New" w:cs="Courier New"/>
        </w:rPr>
        <w:t xml:space="preserve"> Bank, ktorej kľúčová sadzba poskočila o pol percentného bodu na 7,95 percenta. Potom prekvapila Národná banka Slovenska väčšinu slovenských bankových analytikov </w:t>
      </w:r>
      <w:proofErr w:type="spellStart"/>
      <w:r>
        <w:rPr>
          <w:rFonts w:ascii="Courier New" w:hAnsi="Courier New" w:cs="Courier New"/>
        </w:rPr>
        <w:t>štvťbodovým</w:t>
      </w:r>
      <w:proofErr w:type="spellEnd"/>
      <w:r>
        <w:rPr>
          <w:rFonts w:ascii="Courier New" w:hAnsi="Courier New" w:cs="Courier New"/>
        </w:rPr>
        <w:t xml:space="preserve"> zvýšením základnej dvojtýždňovej </w:t>
      </w:r>
      <w:proofErr w:type="spellStart"/>
      <w:r>
        <w:rPr>
          <w:rFonts w:ascii="Courier New" w:hAnsi="Courier New" w:cs="Courier New"/>
        </w:rPr>
        <w:t>repo</w:t>
      </w:r>
      <w:proofErr w:type="spellEnd"/>
      <w:r>
        <w:rPr>
          <w:rFonts w:ascii="Courier New" w:hAnsi="Courier New" w:cs="Courier New"/>
        </w:rPr>
        <w:t xml:space="preserve"> sadzby na 4,45 percenta. O deň na to zaskočila rovnakým zvýšením na 2,59 percenta aj Česká národná banka. Vo všetkých prípadoch centrálni bankári argumentovali inflačnými obavami. Možnosť sprísniť menovú politiku naznačili aj Poliaci. Ich obavy sa týkajú skôr budúcich expanzívnych rozpočtových plánov. Tie sú</w:t>
      </w:r>
      <w:r w:rsidR="007420DD">
        <w:rPr>
          <w:rFonts w:ascii="Courier New" w:hAnsi="Courier New" w:cs="Courier New"/>
        </w:rPr>
        <w:t xml:space="preserve"> spoločným fenoménom celej V4. K</w:t>
      </w:r>
      <w:bookmarkStart w:id="0" w:name="_GoBack"/>
      <w:bookmarkEnd w:id="0"/>
      <w:r>
        <w:rPr>
          <w:rFonts w:ascii="Courier New" w:hAnsi="Courier New" w:cs="Courier New"/>
        </w:rPr>
        <w:t xml:space="preserve"> zvyšovaniu sadzieb v strednej Európe sa môže od 5. októbra pridať aj Európska centrálna banka. V jej prípade sa sadzba môže dostať na 3,45 percenta. Nedávne nepokoje v Maďarsku, možnosť predčasných volieb v Česku, ale aj Poľsku opäť zvyšujú opatrnosť investorov k stredoeurópskym aktívam. V takom prostredí musí NBS dbať aj na udržanie rozdielu medzi základnými úrokovými sadzbami eura a koruny. Úrokový diferenciál je jeden z vankúšov pred neželaným oslabením meny. Hoci slabšiu korunu exportéri vítajú, jej oslabenie nie je želateľné nielen pre účasť Slovenska v režime ERM II, ale aj pre tohtoročné zrýchlenie inflácie. Silnejší či aspoň stabilný kurz by mal byť jeden z príspevkov k jej zmierneniu. Politikom na celom svete sa menová brzda nepáči. Vyššie úroky znamenajú rast rozpočtových výdavkov na financovanie verejného dlhu, pomalší hospodársky rast znamená aj nižšie rozpočtové príjmy. A navyše takýto krok centrálnej banky môžu chápať ako kritiku ich rozpočtovej politiky. Nemecký minister financií napríklad v auguste varoval pred príliš reštriktívnou menovou politikou ECB. Zvyšovanie úrokov prirovnal k použitiu červenej karty, ktorá domotivuje futbalový tím. NBS dala nesúhlas  s vládou najjasnejšie najavo v apríli 2002, keď trh šokovala rastom sadzieb o pol percenta. Aj po minulotýždňovom rozhodnutí sa guvernér NBS kriticky vyjadril na adresu rozpočtových návrhov zameraných na zníženie niektorých daní. Hoci už v závore roka sa očakáva kulminácia inflácie, návrat k znižovaniu úrokovej sadzby môže, podobne ako v Česku, zahatať práve rozpočtová neistota. Najlepším príspevkom centrálnej banky </w:t>
      </w:r>
      <w:r>
        <w:rPr>
          <w:rFonts w:ascii="Courier New" w:hAnsi="Courier New" w:cs="Courier New"/>
        </w:rPr>
        <w:lastRenderedPageBreak/>
        <w:t>k hospodárskemu rastu je udržanie stabilnej a podľa možnosti nízkej inflácie. Pokiaľ sa naplnia najodvážnejšie prognózy, do leta budúceho roka by sa základná sadzba ECB mohla ocitnúť na úrovni štyroch percent. Na konci septembra pritom rozdiel v úročení medzi korunou a eurom dosahoval 1,95 percentného bodu. No niektorí analytici vidia posuny nižšie. Podľa analytikov z londýnskej banky, pokiaľ sa naplní prognóza sprísnenia politiky ECB na 3,50 percenta, mala by NBS posunúť základnú sadzbu na 5 percent.</w:t>
      </w:r>
    </w:p>
    <w:sectPr w:rsidR="00825477" w:rsidSect="006B3907">
      <w:pgSz w:w="11906" w:h="16838"/>
      <w:pgMar w:top="1418" w:right="3232"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907"/>
    <w:rsid w:val="001100E5"/>
    <w:rsid w:val="006B3907"/>
    <w:rsid w:val="006D11D0"/>
    <w:rsid w:val="007420DD"/>
    <w:rsid w:val="00745B2B"/>
    <w:rsid w:val="00D2581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6B3907"/>
    <w:pPr>
      <w:spacing w:after="0" w:line="240" w:lineRule="auto"/>
    </w:pPr>
    <w:rPr>
      <w:rFonts w:ascii="Times New Roman" w:eastAsia="Times New Roman" w:hAnsi="Times New Roman" w:cs="Times New Roman"/>
      <w:color w:val="000000"/>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6B3907"/>
    <w:pPr>
      <w:spacing w:after="0" w:line="240" w:lineRule="auto"/>
    </w:pPr>
    <w:rPr>
      <w:rFonts w:ascii="Times New Roman" w:eastAsia="Times New Roman" w:hAnsi="Times New Roman" w:cs="Times New Roman"/>
      <w:color w:val="000000"/>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428</Words>
  <Characters>2441</Characters>
  <Application>Microsoft Office Word</Application>
  <DocSecurity>0</DocSecurity>
  <Lines>20</Lines>
  <Paragraphs>5</Paragraphs>
  <ScaleCrop>false</ScaleCrop>
  <HeadingPairs>
    <vt:vector size="2" baseType="variant">
      <vt:variant>
        <vt:lpstr>Názov</vt:lpstr>
      </vt:variant>
      <vt:variant>
        <vt:i4>1</vt:i4>
      </vt:variant>
    </vt:vector>
  </HeadingPairs>
  <TitlesOfParts>
    <vt:vector size="1" baseType="lpstr">
      <vt:lpstr/>
    </vt:vector>
  </TitlesOfParts>
  <Company>HOME</Company>
  <LinksUpToDate>false</LinksUpToDate>
  <CharactersWithSpaces>2864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dc:description/>
  <cp:lastModifiedBy>admin</cp:lastModifiedBy>
  <cp:revision>2</cp:revision>
  <dcterms:created xsi:type="dcterms:W3CDTF">2013-09-19T12:20:00Z</dcterms:created>
  <dcterms:modified xsi:type="dcterms:W3CDTF">2013-09-19T12:20:00Z</dcterms:modified>
</cp:coreProperties>
</file>